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34D36F" w14:textId="77777777" w:rsidR="00CC6FF7" w:rsidRDefault="007F31A8">
      <w:pPr>
        <w:spacing w:after="19"/>
        <w:ind w:left="3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Polgári jog V.  </w:t>
      </w:r>
    </w:p>
    <w:p w14:paraId="52A01513" w14:textId="77777777" w:rsidR="00CC6FF7" w:rsidRDefault="007F31A8">
      <w:pPr>
        <w:spacing w:after="17"/>
        <w:ind w:left="1716"/>
      </w:pPr>
      <w:r>
        <w:rPr>
          <w:rFonts w:ascii="Times New Roman" w:eastAsia="Times New Roman" w:hAnsi="Times New Roman" w:cs="Times New Roman"/>
          <w:b/>
          <w:sz w:val="28"/>
        </w:rPr>
        <w:t xml:space="preserve">Fogalom-meghatározások (minimumkérdések) </w:t>
      </w:r>
    </w:p>
    <w:p w14:paraId="08CCBFB0" w14:textId="77777777" w:rsidR="00484906" w:rsidRDefault="007F31A8">
      <w:pPr>
        <w:spacing w:after="0"/>
        <w:ind w:left="3219" w:right="3176" w:firstLine="497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 - </w:t>
      </w:r>
      <w:r>
        <w:rPr>
          <w:rFonts w:ascii="Times New Roman" w:eastAsia="Times New Roman" w:hAnsi="Times New Roman" w:cs="Times New Roman"/>
          <w:b/>
          <w:i/>
          <w:sz w:val="28"/>
        </w:rPr>
        <w:t xml:space="preserve">Családjog </w:t>
      </w:r>
      <w:r>
        <w:rPr>
          <w:rFonts w:ascii="Times New Roman" w:eastAsia="Times New Roman" w:hAnsi="Times New Roman" w:cs="Times New Roman"/>
          <w:sz w:val="28"/>
        </w:rPr>
        <w:t xml:space="preserve">–  </w:t>
      </w:r>
    </w:p>
    <w:p w14:paraId="763F8038" w14:textId="0B31B619" w:rsidR="00484906" w:rsidRPr="00484906" w:rsidRDefault="007F31A8" w:rsidP="00484906">
      <w:pPr>
        <w:spacing w:after="0"/>
        <w:ind w:left="3219" w:right="3176" w:firstLine="497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III. évfolyam</w:t>
      </w:r>
    </w:p>
    <w:p w14:paraId="62556C3E" w14:textId="714BFCE4" w:rsidR="00CC6FF7" w:rsidRDefault="00484906" w:rsidP="00484906">
      <w:pPr>
        <w:spacing w:after="0"/>
        <w:jc w:val="center"/>
        <w:rPr>
          <w:rFonts w:ascii="Times New Roman" w:eastAsia="Times New Roman" w:hAnsi="Times New Roman" w:cs="Times New Roman"/>
          <w:b/>
          <w:bCs/>
          <w:iCs/>
          <w:sz w:val="28"/>
        </w:rPr>
      </w:pPr>
      <w:r w:rsidRPr="00484906">
        <w:rPr>
          <w:rFonts w:ascii="Times New Roman" w:eastAsia="Times New Roman" w:hAnsi="Times New Roman" w:cs="Times New Roman"/>
          <w:b/>
          <w:bCs/>
          <w:iCs/>
          <w:sz w:val="28"/>
        </w:rPr>
        <w:t>2025/2026. tanév</w:t>
      </w:r>
      <w:r>
        <w:rPr>
          <w:rFonts w:ascii="Times New Roman" w:eastAsia="Times New Roman" w:hAnsi="Times New Roman" w:cs="Times New Roman"/>
          <w:b/>
          <w:bCs/>
          <w:iCs/>
          <w:sz w:val="28"/>
        </w:rPr>
        <w:t xml:space="preserve"> </w:t>
      </w:r>
      <w:r w:rsidRPr="00484906">
        <w:rPr>
          <w:rFonts w:ascii="Times New Roman" w:eastAsia="Times New Roman" w:hAnsi="Times New Roman" w:cs="Times New Roman"/>
          <w:b/>
          <w:bCs/>
          <w:iCs/>
          <w:sz w:val="28"/>
        </w:rPr>
        <w:t>2.</w:t>
      </w:r>
      <w:r>
        <w:rPr>
          <w:rFonts w:ascii="Times New Roman" w:eastAsia="Times New Roman" w:hAnsi="Times New Roman" w:cs="Times New Roman"/>
          <w:b/>
          <w:bCs/>
          <w:iCs/>
          <w:sz w:val="28"/>
        </w:rPr>
        <w:t xml:space="preserve"> </w:t>
      </w:r>
      <w:r w:rsidRPr="00484906">
        <w:rPr>
          <w:rFonts w:ascii="Times New Roman" w:eastAsia="Times New Roman" w:hAnsi="Times New Roman" w:cs="Times New Roman"/>
          <w:b/>
          <w:bCs/>
          <w:iCs/>
          <w:sz w:val="28"/>
        </w:rPr>
        <w:t>félév</w:t>
      </w:r>
    </w:p>
    <w:p w14:paraId="288A4E54" w14:textId="77777777" w:rsidR="00484906" w:rsidRDefault="00484906" w:rsidP="00484906">
      <w:pPr>
        <w:spacing w:after="0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51462B59" w14:textId="77777777" w:rsidR="002A05F1" w:rsidRPr="002A05F1" w:rsidRDefault="002A05F1" w:rsidP="00484906">
      <w:pPr>
        <w:spacing w:after="0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84906" w:rsidRPr="002A05F1" w14:paraId="0E00A66E" w14:textId="77777777" w:rsidTr="00484906">
        <w:tc>
          <w:tcPr>
            <w:tcW w:w="9016" w:type="dxa"/>
          </w:tcPr>
          <w:p w14:paraId="2E06A5D1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Családjog alapelvei</w:t>
            </w:r>
          </w:p>
          <w:p w14:paraId="29286584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Házasság</w:t>
            </w:r>
          </w:p>
          <w:p w14:paraId="7A96C373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Jegyesség</w:t>
            </w:r>
          </w:p>
          <w:p w14:paraId="2611B96A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Az érvénytelen és a nemlétező házasság elhatárolása</w:t>
            </w:r>
          </w:p>
          <w:p w14:paraId="4F115F66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házassági akadály fogalma</w:t>
            </w:r>
          </w:p>
          <w:p w14:paraId="0C324ACD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Elhárítható házassági akadályok</w:t>
            </w:r>
          </w:p>
          <w:p w14:paraId="168A8E05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El nem hárítható házassági akadályok</w:t>
            </w:r>
          </w:p>
          <w:p w14:paraId="301FC6AC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Abszolút házassági akadályok</w:t>
            </w:r>
          </w:p>
          <w:p w14:paraId="1D88160C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Relatív házassági akadályok</w:t>
            </w:r>
          </w:p>
          <w:p w14:paraId="16781360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Orvosolható érvénytelenségi okok</w:t>
            </w:r>
          </w:p>
          <w:p w14:paraId="3E2FC87F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Nem orvosolható érvénytelenségi okok</w:t>
            </w:r>
          </w:p>
          <w:p w14:paraId="31AD19A9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házasság alaki kellékei és csoportosítása</w:t>
            </w:r>
          </w:p>
          <w:p w14:paraId="12ED5F2F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Tényállásos bontás jellemzői</w:t>
            </w:r>
          </w:p>
          <w:p w14:paraId="7BF428F9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Közös megegyezéses bontás feltételei</w:t>
            </w:r>
          </w:p>
          <w:p w14:paraId="7E31238E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Házastársi vagyonközösség</w:t>
            </w:r>
          </w:p>
          <w:p w14:paraId="3CAB5522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Házastársi közös vagyon</w:t>
            </w:r>
          </w:p>
          <w:p w14:paraId="740DAC37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házastársak különvagyona</w:t>
            </w:r>
          </w:p>
          <w:p w14:paraId="7461923F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Házassági vagyonjogi szerződés</w:t>
            </w:r>
          </w:p>
          <w:p w14:paraId="6075BC0E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Házassági vagyonjogi rendszerek</w:t>
            </w:r>
          </w:p>
          <w:p w14:paraId="2D90F2B2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Közvetítői eljárás jelentősége a családjogi jogvitákban</w:t>
            </w:r>
          </w:p>
          <w:p w14:paraId="6E4E5903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A foglalkozás gyakorlásához szükséges és az üzleti célú vagyon használata és kezelése</w:t>
            </w:r>
          </w:p>
          <w:p w14:paraId="02DFC1E8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vagyonközösség tárgyainak fenntartási, kezelési, illetve a közös háztartás költségeinek viselése  </w:t>
            </w:r>
          </w:p>
          <w:p w14:paraId="2A7F4D24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A közös vagyonnal való rendelkezés a vagyonközösség fennállása alatt</w:t>
            </w:r>
          </w:p>
          <w:p w14:paraId="3F14CD95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Vétkességi elv – Feldúltsági elv</w:t>
            </w:r>
          </w:p>
          <w:p w14:paraId="69D93BCB" w14:textId="768B1652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volt házastárs tartásának feltételei</w:t>
            </w:r>
          </w:p>
          <w:p w14:paraId="18AEC2CB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A volt</w:t>
            </w:r>
            <w:proofErr w:type="gramEnd"/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de facto </w:t>
            </w: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élettárs tartásának feltételei</w:t>
            </w:r>
          </w:p>
          <w:p w14:paraId="3DAAEF88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Bejegyzett élettársi kapcsolat – regisztrált élettársi kapcsolat – </w:t>
            </w:r>
            <w:proofErr w:type="gramStart"/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a</w:t>
            </w:r>
            <w:proofErr w:type="gramEnd"/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de facto élettársi kapcsolat</w:t>
            </w:r>
          </w:p>
          <w:p w14:paraId="7566EDE5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házasság és a bejegyzett élettársi kapcsolat elhatárolása</w:t>
            </w:r>
          </w:p>
          <w:p w14:paraId="69A5FE54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de facto élettársi kapcsolat családjogi hatásai, feltételei</w:t>
            </w:r>
          </w:p>
          <w:p w14:paraId="0F60C526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A közszerzeményi vagyonjogi rendszer</w:t>
            </w:r>
          </w:p>
          <w:p w14:paraId="403722A2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vagyonelkülönítési vagyonjogi rendszer  </w:t>
            </w:r>
          </w:p>
          <w:p w14:paraId="18BC3754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Házastársi közös lakás</w:t>
            </w:r>
          </w:p>
          <w:p w14:paraId="42418B16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házastársi közös lakással való rendelkezés </w:t>
            </w:r>
            <w:proofErr w:type="spellStart"/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korlátai</w:t>
            </w:r>
            <w:proofErr w:type="spellEnd"/>
          </w:p>
          <w:p w14:paraId="76059061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Lakáshasználati szerződés</w:t>
            </w:r>
          </w:p>
          <w:p w14:paraId="6CAFD7EE" w14:textId="76A5E006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A lakás objektív megoszthatatlansága</w:t>
            </w:r>
          </w:p>
          <w:p w14:paraId="79EE59CD" w14:textId="11874ADD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lakás szubjektív </w:t>
            </w: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megoszthatatlansága</w:t>
            </w:r>
          </w:p>
          <w:p w14:paraId="3B8EB8B7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Többlethasználati díj</w:t>
            </w:r>
          </w:p>
          <w:p w14:paraId="158C307B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Házasságon alapuló apasági vélelem  </w:t>
            </w:r>
          </w:p>
          <w:p w14:paraId="7B577CB3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Egységes apasági vélelmek  </w:t>
            </w:r>
          </w:p>
          <w:p w14:paraId="415FED09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Mögöttes apaság</w:t>
            </w:r>
          </w:p>
          <w:p w14:paraId="4858106C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Anyasági per – negatív </w:t>
            </w: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és pozitív </w:t>
            </w: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megállapítási per</w:t>
            </w:r>
          </w:p>
          <w:p w14:paraId="53CE20F0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Az apasági vélelem megtámadásának okai</w:t>
            </w:r>
          </w:p>
          <w:p w14:paraId="5FA77632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Az apasági vélelem megtámadásának kizártsága</w:t>
            </w:r>
          </w:p>
          <w:p w14:paraId="366E485D" w14:textId="77777777" w:rsidR="00484906" w:rsidRPr="002A05F1" w:rsidRDefault="00484906" w:rsidP="002A05F1">
            <w:pPr>
              <w:numPr>
                <w:ilvl w:val="0"/>
                <w:numId w:val="6"/>
              </w:num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Az apasági vélelem megdöntése nemperes eljárásban </w:t>
            </w:r>
          </w:p>
          <w:p w14:paraId="476BF65B" w14:textId="77777777" w:rsidR="00484906" w:rsidRPr="002A05F1" w:rsidRDefault="00484906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Teljes hatályú apai elismerő</w:t>
            </w:r>
            <w:r w:rsidR="002A05F1" w:rsidRPr="002A05F1">
              <w:rPr>
                <w:rFonts w:ascii="Times New Roman" w:hAnsi="Times New Roman" w:cs="Times New Roman"/>
                <w:sz w:val="28"/>
                <w:szCs w:val="28"/>
              </w:rPr>
              <w:t>nyilatkozat megtételének feltételei</w:t>
            </w:r>
          </w:p>
          <w:p w14:paraId="5856D630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Az apaság bírói megállapításának feltételei</w:t>
            </w:r>
          </w:p>
          <w:p w14:paraId="22FB2B5A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Az örökbefogadóval szemben támasztott követelmények</w:t>
            </w:r>
          </w:p>
          <w:p w14:paraId="13EF9A63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titkos örökbefogadás és esetei (szülői hozzájárulással vagy anélkül)</w:t>
            </w:r>
          </w:p>
          <w:p w14:paraId="26F2409A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 xml:space="preserve">Az örökbefogadhatóvá nyilvánítás esetei </w:t>
            </w:r>
          </w:p>
          <w:p w14:paraId="2048B0B2" w14:textId="1FAF663F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Az örökbefogadott gyermek vérségi származásának megismeréséhez fűződő joga</w:t>
            </w:r>
          </w:p>
          <w:p w14:paraId="49F05528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Nyílt örökbefogadás</w:t>
            </w:r>
          </w:p>
          <w:p w14:paraId="3D5561D9" w14:textId="43564886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Az örökbefogadás </w:t>
            </w:r>
            <w:proofErr w:type="spellStart"/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utánkövetése</w:t>
            </w:r>
            <w:proofErr w:type="spellEnd"/>
          </w:p>
          <w:p w14:paraId="33AF47DD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Az örökbefogadás </w:t>
            </w: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joghatásai</w:t>
            </w: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  <w:p w14:paraId="71332C6C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tartási kötelezettség sorrendje </w:t>
            </w:r>
          </w:p>
          <w:p w14:paraId="7D7F936C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A tartásra jogosultság sorrendje  </w:t>
            </w:r>
          </w:p>
          <w:p w14:paraId="17767003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A rokontartás feltételrendszere</w:t>
            </w:r>
          </w:p>
          <w:p w14:paraId="1014AF4B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A szülői felügyelet tartalma</w:t>
            </w:r>
          </w:p>
          <w:p w14:paraId="3537F67A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gyermek sorsát érintő lényeges kérdések</w:t>
            </w:r>
          </w:p>
          <w:p w14:paraId="67B0F9C2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A gyermek kiadása iránti per - a szülői felügyelet gyakorlásának és a gyermek elhelyezésének megváltoztatására irányuló per</w:t>
            </w:r>
          </w:p>
          <w:p w14:paraId="61D71859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gyermekelhelyezés</w:t>
            </w:r>
          </w:p>
          <w:p w14:paraId="2D721176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 xml:space="preserve">A </w:t>
            </w:r>
            <w:proofErr w:type="spellStart"/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családbafogadás</w:t>
            </w:r>
            <w:proofErr w:type="spellEnd"/>
          </w:p>
          <w:p w14:paraId="22D03F31" w14:textId="28B955AB" w:rsidR="002A05F1" w:rsidRPr="002A05F1" w:rsidRDefault="002A05F1" w:rsidP="002A05F1">
            <w:pPr>
              <w:numPr>
                <w:ilvl w:val="0"/>
                <w:numId w:val="6"/>
              </w:numPr>
              <w:spacing w:after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>Kap</w:t>
            </w:r>
            <w:r w:rsidRPr="002A05F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csolattartásra jogosult hozzátartozók és más személyek </w:t>
            </w:r>
          </w:p>
          <w:p w14:paraId="7187A3F6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Folyamatos és időszakos kapcsolattartás</w:t>
            </w:r>
          </w:p>
          <w:p w14:paraId="1EBB2973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Felügyelt kapcsolattartás</w:t>
            </w:r>
          </w:p>
          <w:p w14:paraId="72E67DD3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szülői felügyeleti jog szünetelésének esetei</w:t>
            </w:r>
          </w:p>
          <w:p w14:paraId="2E7E0E3B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„váltott gondoskodás” jellemzése</w:t>
            </w:r>
          </w:p>
          <w:p w14:paraId="37CF2EAB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szülői felügyeleti jog megszűnése és megszüntetése</w:t>
            </w:r>
          </w:p>
          <w:p w14:paraId="33F652D1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Mostoha és nevelt gyermek tartása</w:t>
            </w:r>
          </w:p>
          <w:p w14:paraId="74910D3E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Mostohaszülő és nevelőszülő tartása</w:t>
            </w:r>
          </w:p>
          <w:p w14:paraId="20FD4710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A gyermektartásdíj összegét meghatározó szempontok</w:t>
            </w:r>
          </w:p>
          <w:p w14:paraId="471C3794" w14:textId="77777777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Kötelező és rendelt gyám</w:t>
            </w:r>
          </w:p>
          <w:p w14:paraId="169FDD7C" w14:textId="22BC441D" w:rsidR="002A05F1" w:rsidRPr="002A05F1" w:rsidRDefault="002A05F1" w:rsidP="002A05F1">
            <w:pPr>
              <w:pStyle w:val="Listaszerbekezds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05F1">
              <w:rPr>
                <w:rFonts w:ascii="Times New Roman" w:hAnsi="Times New Roman" w:cs="Times New Roman"/>
                <w:sz w:val="28"/>
                <w:szCs w:val="28"/>
              </w:rPr>
              <w:t>Gyermekvédelmi gyám</w:t>
            </w:r>
          </w:p>
        </w:tc>
      </w:tr>
    </w:tbl>
    <w:p w14:paraId="5BA6E86B" w14:textId="77777777" w:rsidR="00484906" w:rsidRDefault="00484906" w:rsidP="00484906">
      <w:pPr>
        <w:spacing w:after="0"/>
        <w:jc w:val="center"/>
      </w:pPr>
    </w:p>
    <w:p w14:paraId="746A4656" w14:textId="7837D9DC" w:rsidR="007F31A8" w:rsidRPr="002A05F1" w:rsidRDefault="002A05F1">
      <w:pPr>
        <w:rPr>
          <w:rFonts w:ascii="Times New Roman" w:hAnsi="Times New Roman" w:cs="Times New Roman"/>
          <w:sz w:val="28"/>
          <w:szCs w:val="28"/>
        </w:rPr>
      </w:pPr>
      <w:r w:rsidRPr="002A05F1">
        <w:rPr>
          <w:rFonts w:ascii="Times New Roman" w:hAnsi="Times New Roman" w:cs="Times New Roman"/>
          <w:sz w:val="28"/>
          <w:szCs w:val="28"/>
        </w:rPr>
        <w:t>Miskolc, 2026. 01. 31</w:t>
      </w:r>
    </w:p>
    <w:p w14:paraId="4F956522" w14:textId="77777777" w:rsidR="002A05F1" w:rsidRPr="002A05F1" w:rsidRDefault="002A05F1">
      <w:pPr>
        <w:rPr>
          <w:rFonts w:ascii="Times New Roman" w:hAnsi="Times New Roman" w:cs="Times New Roman"/>
          <w:sz w:val="28"/>
          <w:szCs w:val="28"/>
        </w:rPr>
      </w:pPr>
    </w:p>
    <w:p w14:paraId="3E22F7CF" w14:textId="77777777" w:rsidR="002A05F1" w:rsidRPr="002A05F1" w:rsidRDefault="002A05F1">
      <w:pPr>
        <w:rPr>
          <w:rFonts w:ascii="Times New Roman" w:hAnsi="Times New Roman" w:cs="Times New Roman"/>
          <w:sz w:val="28"/>
          <w:szCs w:val="28"/>
        </w:rPr>
      </w:pPr>
    </w:p>
    <w:p w14:paraId="5EB3B124" w14:textId="6B03E871" w:rsidR="002A05F1" w:rsidRPr="002A05F1" w:rsidRDefault="002A05F1" w:rsidP="002A05F1">
      <w:pPr>
        <w:jc w:val="center"/>
        <w:rPr>
          <w:rFonts w:ascii="Times New Roman" w:hAnsi="Times New Roman" w:cs="Times New Roman"/>
          <w:sz w:val="28"/>
          <w:szCs w:val="28"/>
        </w:rPr>
      </w:pPr>
      <w:r w:rsidRPr="002A05F1">
        <w:rPr>
          <w:rFonts w:ascii="Times New Roman" w:hAnsi="Times New Roman" w:cs="Times New Roman"/>
          <w:sz w:val="28"/>
          <w:szCs w:val="28"/>
        </w:rPr>
        <w:t xml:space="preserve">Prof. Dr. </w:t>
      </w:r>
      <w:proofErr w:type="spellStart"/>
      <w:r w:rsidRPr="002A05F1">
        <w:rPr>
          <w:rFonts w:ascii="Times New Roman" w:hAnsi="Times New Roman" w:cs="Times New Roman"/>
          <w:sz w:val="28"/>
          <w:szCs w:val="28"/>
        </w:rPr>
        <w:t>Barzó</w:t>
      </w:r>
      <w:proofErr w:type="spellEnd"/>
      <w:r w:rsidRPr="002A05F1">
        <w:rPr>
          <w:rFonts w:ascii="Times New Roman" w:hAnsi="Times New Roman" w:cs="Times New Roman"/>
          <w:sz w:val="28"/>
          <w:szCs w:val="28"/>
        </w:rPr>
        <w:t xml:space="preserve"> Tímea</w:t>
      </w:r>
    </w:p>
    <w:p w14:paraId="65D2557B" w14:textId="7C79B81A" w:rsidR="002A05F1" w:rsidRPr="002A05F1" w:rsidRDefault="002A05F1" w:rsidP="002A05F1">
      <w:pPr>
        <w:jc w:val="center"/>
        <w:rPr>
          <w:rFonts w:ascii="Times New Roman" w:hAnsi="Times New Roman" w:cs="Times New Roman"/>
          <w:sz w:val="28"/>
          <w:szCs w:val="28"/>
        </w:rPr>
      </w:pPr>
      <w:r w:rsidRPr="002A05F1">
        <w:rPr>
          <w:rFonts w:ascii="Times New Roman" w:hAnsi="Times New Roman" w:cs="Times New Roman"/>
          <w:sz w:val="28"/>
          <w:szCs w:val="28"/>
        </w:rPr>
        <w:t>intézeti tanszékvezető egyetemi tanár</w:t>
      </w:r>
    </w:p>
    <w:sectPr w:rsidR="002A05F1" w:rsidRPr="002A05F1">
      <w:pgSz w:w="11906" w:h="16838"/>
      <w:pgMar w:top="1156" w:right="1440" w:bottom="1158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50465"/>
    <w:multiLevelType w:val="hybridMultilevel"/>
    <w:tmpl w:val="76AC3DA4"/>
    <w:lvl w:ilvl="0" w:tplc="3CB685CE">
      <w:start w:val="41"/>
      <w:numFmt w:val="decimal"/>
      <w:lvlText w:val="%1."/>
      <w:lvlJc w:val="left"/>
      <w:pPr>
        <w:ind w:left="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B8146CCC">
      <w:start w:val="1"/>
      <w:numFmt w:val="lowerLetter"/>
      <w:lvlText w:val="%2"/>
      <w:lvlJc w:val="left"/>
      <w:pPr>
        <w:ind w:left="1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8C0D12E">
      <w:start w:val="1"/>
      <w:numFmt w:val="lowerRoman"/>
      <w:lvlText w:val="%3"/>
      <w:lvlJc w:val="left"/>
      <w:pPr>
        <w:ind w:left="22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91A68A4">
      <w:start w:val="1"/>
      <w:numFmt w:val="decimal"/>
      <w:lvlText w:val="%4"/>
      <w:lvlJc w:val="left"/>
      <w:pPr>
        <w:ind w:left="29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9466832">
      <w:start w:val="1"/>
      <w:numFmt w:val="lowerLetter"/>
      <w:lvlText w:val="%5"/>
      <w:lvlJc w:val="left"/>
      <w:pPr>
        <w:ind w:left="3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776C30E">
      <w:start w:val="1"/>
      <w:numFmt w:val="lowerRoman"/>
      <w:lvlText w:val="%6"/>
      <w:lvlJc w:val="left"/>
      <w:pPr>
        <w:ind w:left="43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42CC074">
      <w:start w:val="1"/>
      <w:numFmt w:val="decimal"/>
      <w:lvlText w:val="%7"/>
      <w:lvlJc w:val="left"/>
      <w:pPr>
        <w:ind w:left="50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23C3FD4">
      <w:start w:val="1"/>
      <w:numFmt w:val="lowerLetter"/>
      <w:lvlText w:val="%8"/>
      <w:lvlJc w:val="left"/>
      <w:pPr>
        <w:ind w:left="5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B2C5E56">
      <w:start w:val="1"/>
      <w:numFmt w:val="lowerRoman"/>
      <w:lvlText w:val="%9"/>
      <w:lvlJc w:val="left"/>
      <w:pPr>
        <w:ind w:left="6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8E1BAD"/>
    <w:multiLevelType w:val="hybridMultilevel"/>
    <w:tmpl w:val="FB3258CC"/>
    <w:lvl w:ilvl="0" w:tplc="19122348">
      <w:start w:val="31"/>
      <w:numFmt w:val="decimal"/>
      <w:lvlText w:val="%1."/>
      <w:lvlJc w:val="left"/>
      <w:pPr>
        <w:ind w:left="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116C19C">
      <w:start w:val="1"/>
      <w:numFmt w:val="lowerLetter"/>
      <w:lvlText w:val="%2"/>
      <w:lvlJc w:val="left"/>
      <w:pPr>
        <w:ind w:left="1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606F9FE">
      <w:start w:val="1"/>
      <w:numFmt w:val="lowerRoman"/>
      <w:lvlText w:val="%3"/>
      <w:lvlJc w:val="left"/>
      <w:pPr>
        <w:ind w:left="22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C08511A">
      <w:start w:val="1"/>
      <w:numFmt w:val="decimal"/>
      <w:lvlText w:val="%4"/>
      <w:lvlJc w:val="left"/>
      <w:pPr>
        <w:ind w:left="29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84492CE">
      <w:start w:val="1"/>
      <w:numFmt w:val="lowerLetter"/>
      <w:lvlText w:val="%5"/>
      <w:lvlJc w:val="left"/>
      <w:pPr>
        <w:ind w:left="3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614BDD6">
      <w:start w:val="1"/>
      <w:numFmt w:val="lowerRoman"/>
      <w:lvlText w:val="%6"/>
      <w:lvlJc w:val="left"/>
      <w:pPr>
        <w:ind w:left="43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C9CAD44">
      <w:start w:val="1"/>
      <w:numFmt w:val="decimal"/>
      <w:lvlText w:val="%7"/>
      <w:lvlJc w:val="left"/>
      <w:pPr>
        <w:ind w:left="50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4EA715C">
      <w:start w:val="1"/>
      <w:numFmt w:val="lowerLetter"/>
      <w:lvlText w:val="%8"/>
      <w:lvlJc w:val="left"/>
      <w:pPr>
        <w:ind w:left="5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4FE0FE0">
      <w:start w:val="1"/>
      <w:numFmt w:val="lowerRoman"/>
      <w:lvlText w:val="%9"/>
      <w:lvlJc w:val="left"/>
      <w:pPr>
        <w:ind w:left="6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8E72396"/>
    <w:multiLevelType w:val="hybridMultilevel"/>
    <w:tmpl w:val="C99E2FA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A13DC3"/>
    <w:multiLevelType w:val="hybridMultilevel"/>
    <w:tmpl w:val="6076E7E2"/>
    <w:lvl w:ilvl="0" w:tplc="814E0D52">
      <w:start w:val="39"/>
      <w:numFmt w:val="decimal"/>
      <w:lvlText w:val="%1."/>
      <w:lvlJc w:val="left"/>
      <w:pPr>
        <w:ind w:left="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1E2BF90">
      <w:start w:val="1"/>
      <w:numFmt w:val="lowerLetter"/>
      <w:lvlText w:val="%2"/>
      <w:lvlJc w:val="left"/>
      <w:pPr>
        <w:ind w:left="1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09EB682">
      <w:start w:val="1"/>
      <w:numFmt w:val="lowerRoman"/>
      <w:lvlText w:val="%3"/>
      <w:lvlJc w:val="left"/>
      <w:pPr>
        <w:ind w:left="22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0DEB228">
      <w:start w:val="1"/>
      <w:numFmt w:val="decimal"/>
      <w:lvlText w:val="%4"/>
      <w:lvlJc w:val="left"/>
      <w:pPr>
        <w:ind w:left="29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B24DB64">
      <w:start w:val="1"/>
      <w:numFmt w:val="lowerLetter"/>
      <w:lvlText w:val="%5"/>
      <w:lvlJc w:val="left"/>
      <w:pPr>
        <w:ind w:left="3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356C842">
      <w:start w:val="1"/>
      <w:numFmt w:val="lowerRoman"/>
      <w:lvlText w:val="%6"/>
      <w:lvlJc w:val="left"/>
      <w:pPr>
        <w:ind w:left="43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07F0D832">
      <w:start w:val="1"/>
      <w:numFmt w:val="decimal"/>
      <w:lvlText w:val="%7"/>
      <w:lvlJc w:val="left"/>
      <w:pPr>
        <w:ind w:left="50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C5E3C90">
      <w:start w:val="1"/>
      <w:numFmt w:val="lowerLetter"/>
      <w:lvlText w:val="%8"/>
      <w:lvlJc w:val="left"/>
      <w:pPr>
        <w:ind w:left="5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4783F76">
      <w:start w:val="1"/>
      <w:numFmt w:val="lowerRoman"/>
      <w:lvlText w:val="%9"/>
      <w:lvlJc w:val="left"/>
      <w:pPr>
        <w:ind w:left="6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1500AEA"/>
    <w:multiLevelType w:val="hybridMultilevel"/>
    <w:tmpl w:val="D1F661C0"/>
    <w:lvl w:ilvl="0" w:tplc="5E6CABDC">
      <w:start w:val="44"/>
      <w:numFmt w:val="decimal"/>
      <w:lvlText w:val="%1."/>
      <w:lvlJc w:val="left"/>
      <w:pPr>
        <w:ind w:left="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57E922C">
      <w:start w:val="1"/>
      <w:numFmt w:val="lowerLetter"/>
      <w:lvlText w:val="%2"/>
      <w:lvlJc w:val="left"/>
      <w:pPr>
        <w:ind w:left="1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3380A7C">
      <w:start w:val="1"/>
      <w:numFmt w:val="lowerRoman"/>
      <w:lvlText w:val="%3"/>
      <w:lvlJc w:val="left"/>
      <w:pPr>
        <w:ind w:left="22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80E12AC">
      <w:start w:val="1"/>
      <w:numFmt w:val="decimal"/>
      <w:lvlText w:val="%4"/>
      <w:lvlJc w:val="left"/>
      <w:pPr>
        <w:ind w:left="29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7F0EA66">
      <w:start w:val="1"/>
      <w:numFmt w:val="lowerLetter"/>
      <w:lvlText w:val="%5"/>
      <w:lvlJc w:val="left"/>
      <w:pPr>
        <w:ind w:left="3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1ECA25E">
      <w:start w:val="1"/>
      <w:numFmt w:val="lowerRoman"/>
      <w:lvlText w:val="%6"/>
      <w:lvlJc w:val="left"/>
      <w:pPr>
        <w:ind w:left="43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43E31EE">
      <w:start w:val="1"/>
      <w:numFmt w:val="decimal"/>
      <w:lvlText w:val="%7"/>
      <w:lvlJc w:val="left"/>
      <w:pPr>
        <w:ind w:left="50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00E4978">
      <w:start w:val="1"/>
      <w:numFmt w:val="lowerLetter"/>
      <w:lvlText w:val="%8"/>
      <w:lvlJc w:val="left"/>
      <w:pPr>
        <w:ind w:left="5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CAED586">
      <w:start w:val="1"/>
      <w:numFmt w:val="lowerRoman"/>
      <w:lvlText w:val="%9"/>
      <w:lvlJc w:val="left"/>
      <w:pPr>
        <w:ind w:left="6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0943524"/>
    <w:multiLevelType w:val="hybridMultilevel"/>
    <w:tmpl w:val="C07C0B14"/>
    <w:lvl w:ilvl="0" w:tplc="68B461E8">
      <w:start w:val="47"/>
      <w:numFmt w:val="decimal"/>
      <w:lvlText w:val="%1."/>
      <w:lvlJc w:val="left"/>
      <w:pPr>
        <w:ind w:left="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61EAAAE">
      <w:start w:val="1"/>
      <w:numFmt w:val="lowerLetter"/>
      <w:lvlText w:val="%2"/>
      <w:lvlJc w:val="left"/>
      <w:pPr>
        <w:ind w:left="1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83621A4">
      <w:start w:val="1"/>
      <w:numFmt w:val="lowerRoman"/>
      <w:lvlText w:val="%3"/>
      <w:lvlJc w:val="left"/>
      <w:pPr>
        <w:ind w:left="22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E2C4F9DC">
      <w:start w:val="1"/>
      <w:numFmt w:val="decimal"/>
      <w:lvlText w:val="%4"/>
      <w:lvlJc w:val="left"/>
      <w:pPr>
        <w:ind w:left="29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4C08D16">
      <w:start w:val="1"/>
      <w:numFmt w:val="lowerLetter"/>
      <w:lvlText w:val="%5"/>
      <w:lvlJc w:val="left"/>
      <w:pPr>
        <w:ind w:left="3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6328B6A">
      <w:start w:val="1"/>
      <w:numFmt w:val="lowerRoman"/>
      <w:lvlText w:val="%6"/>
      <w:lvlJc w:val="left"/>
      <w:pPr>
        <w:ind w:left="43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326DDE2">
      <w:start w:val="1"/>
      <w:numFmt w:val="decimal"/>
      <w:lvlText w:val="%7"/>
      <w:lvlJc w:val="left"/>
      <w:pPr>
        <w:ind w:left="50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56E6FF6">
      <w:start w:val="1"/>
      <w:numFmt w:val="lowerLetter"/>
      <w:lvlText w:val="%8"/>
      <w:lvlJc w:val="left"/>
      <w:pPr>
        <w:ind w:left="5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1049702">
      <w:start w:val="1"/>
      <w:numFmt w:val="lowerRoman"/>
      <w:lvlText w:val="%9"/>
      <w:lvlJc w:val="left"/>
      <w:pPr>
        <w:ind w:left="6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36687658">
    <w:abstractNumId w:val="1"/>
  </w:num>
  <w:num w:numId="2" w16cid:durableId="200359178">
    <w:abstractNumId w:val="3"/>
  </w:num>
  <w:num w:numId="3" w16cid:durableId="573899486">
    <w:abstractNumId w:val="0"/>
  </w:num>
  <w:num w:numId="4" w16cid:durableId="1924216114">
    <w:abstractNumId w:val="4"/>
  </w:num>
  <w:num w:numId="5" w16cid:durableId="224730836">
    <w:abstractNumId w:val="5"/>
  </w:num>
  <w:num w:numId="6" w16cid:durableId="15430551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FF7"/>
    <w:rsid w:val="002A05F1"/>
    <w:rsid w:val="00484906"/>
    <w:rsid w:val="007F31A8"/>
    <w:rsid w:val="00B96D21"/>
    <w:rsid w:val="00CC6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54BE2"/>
  <w15:docId w15:val="{7A3D44E9-DF43-40ED-A5E3-242ECA682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hu-HU" w:eastAsia="hu-H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Rcsostblzat">
    <w:name w:val="Table Grid"/>
    <w:basedOn w:val="Normltblzat"/>
    <w:uiPriority w:val="39"/>
    <w:rsid w:val="004849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4849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399</Words>
  <Characters>2757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Polgári jog V</vt:lpstr>
    </vt:vector>
  </TitlesOfParts>
  <Company/>
  <LinksUpToDate>false</LinksUpToDate>
  <CharactersWithSpaces>3150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Polgári jog V</dc:title>
  <dc:subject/>
  <dc:creator>PBNEC</dc:creator>
  <cp:keywords/>
  <cp:lastModifiedBy>Fráter-Bihari Petra</cp:lastModifiedBy>
  <cp:revision>2</cp:revision>
  <dcterms:created xsi:type="dcterms:W3CDTF">2026-04-30T08:43:00Z</dcterms:created>
  <dcterms:modified xsi:type="dcterms:W3CDTF">2026-04-30T08:43:00Z</dcterms:modified>
</cp:coreProperties>
</file>